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F4144" w14:textId="77777777" w:rsidR="003E6410" w:rsidRDefault="003E6410" w:rsidP="003E6410"/>
    <w:p w14:paraId="78004A74" w14:textId="77777777" w:rsidR="003E6410" w:rsidRPr="003E6410" w:rsidRDefault="003E6410" w:rsidP="003E6410">
      <w:pPr>
        <w:jc w:val="center"/>
      </w:pPr>
      <w:r w:rsidRPr="003E6410">
        <w:rPr>
          <w:b/>
          <w:bCs/>
        </w:rPr>
        <w:t>Delta Grows Initiative</w:t>
      </w:r>
    </w:p>
    <w:p w14:paraId="3E354684" w14:textId="77777777" w:rsidR="003E6410" w:rsidRPr="003E6410" w:rsidRDefault="003E6410" w:rsidP="003E6410"/>
    <w:p w14:paraId="1CDF11E5" w14:textId="77777777" w:rsidR="003E6410" w:rsidRPr="003E6410" w:rsidRDefault="003E6410" w:rsidP="003E6410">
      <w:pPr>
        <w:jc w:val="center"/>
      </w:pPr>
      <w:r w:rsidRPr="003E6410">
        <w:rPr>
          <w:b/>
          <w:bCs/>
        </w:rPr>
        <w:t>Center for Sustainable Agricultural Excellence and Conservation</w:t>
      </w:r>
    </w:p>
    <w:p w14:paraId="34BE2CCC" w14:textId="77777777" w:rsidR="003E6410" w:rsidRPr="003E6410" w:rsidRDefault="003E6410" w:rsidP="003E6410"/>
    <w:p w14:paraId="0F88E83F" w14:textId="4D650D7B" w:rsidR="003E6410" w:rsidRPr="003E6410" w:rsidRDefault="003E6410" w:rsidP="003E6410">
      <w:r w:rsidRPr="003E6410">
        <w:rPr>
          <w:b/>
          <w:bCs/>
        </w:rPr>
        <w:t>Mission Statement</w:t>
      </w:r>
    </w:p>
    <w:p w14:paraId="12426EC3" w14:textId="77777777" w:rsidR="003E6410" w:rsidRPr="003E6410" w:rsidRDefault="003E6410" w:rsidP="003E6410">
      <w:r w:rsidRPr="003E6410">
        <w:t>The Delta Grows Initiative, spearheaded by the Center for Sustainable Agricultural Excellence and Conservation (CSAEC), aims to revitalize and empower the agricultural communities of the Mississippi Delta. This project is dedicated to fostering sustainable agricultural practices, promoting food security, and advancing environmental stewardship through community-driven solutions and innovative land use strategies.</w:t>
      </w:r>
    </w:p>
    <w:p w14:paraId="199FF952" w14:textId="77777777" w:rsidR="003E6410" w:rsidRPr="003E6410" w:rsidRDefault="003E6410" w:rsidP="003E6410"/>
    <w:p w14:paraId="2C5307E8" w14:textId="38C30C03" w:rsidR="003E6410" w:rsidRPr="003E6410" w:rsidRDefault="003E6410" w:rsidP="003E6410">
      <w:r w:rsidRPr="003E6410">
        <w:rPr>
          <w:b/>
          <w:bCs/>
        </w:rPr>
        <w:t>Overview</w:t>
      </w:r>
    </w:p>
    <w:p w14:paraId="08631D6F" w14:textId="77777777" w:rsidR="003E6410" w:rsidRPr="003E6410" w:rsidRDefault="003E6410" w:rsidP="003E6410">
      <w:r w:rsidRPr="003E6410">
        <w:t>The Mississippi Delta holds a rich agricultural history, yet it faces significant challenges, including climate change, economic disparities, and land degradation. The Delta Grows Initiative seeks to address these issues by focusing on regenerative agriculture, climate-smart commodities, and equitable access to farming resources. Our approach is grounded in integrating traditional knowledge with modern, sustainable techniques to enhance soil health, water conservation, and overall ecosystem resilience.</w:t>
      </w:r>
    </w:p>
    <w:p w14:paraId="5D6CF01B" w14:textId="77777777" w:rsidR="003E6410" w:rsidRPr="003E6410" w:rsidRDefault="003E6410" w:rsidP="003E6410"/>
    <w:p w14:paraId="4E496193" w14:textId="2DB0B13F" w:rsidR="003E6410" w:rsidRPr="003E6410" w:rsidRDefault="003E6410" w:rsidP="003E6410">
      <w:r w:rsidRPr="003E6410">
        <w:rPr>
          <w:b/>
          <w:bCs/>
        </w:rPr>
        <w:t>Key Objectives:</w:t>
      </w:r>
    </w:p>
    <w:p w14:paraId="70311C71" w14:textId="77777777" w:rsidR="003E6410" w:rsidRPr="003E6410" w:rsidRDefault="003E6410" w:rsidP="003E6410">
      <w:r w:rsidRPr="003E6410">
        <w:tab/>
        <w:t>1.</w:t>
      </w:r>
      <w:r w:rsidRPr="003E6410">
        <w:tab/>
      </w:r>
      <w:r w:rsidRPr="003E6410">
        <w:rPr>
          <w:b/>
          <w:bCs/>
        </w:rPr>
        <w:t>Empowering Local Farmers:</w:t>
      </w:r>
      <w:r w:rsidRPr="003E6410">
        <w:t xml:space="preserve"> Providing training and resources to enable farmers to adopt climate-smart, sustainable practices.</w:t>
      </w:r>
    </w:p>
    <w:p w14:paraId="271D054D" w14:textId="77777777" w:rsidR="003E6410" w:rsidRPr="003E6410" w:rsidRDefault="003E6410" w:rsidP="003E6410">
      <w:r w:rsidRPr="003E6410">
        <w:tab/>
        <w:t>2.</w:t>
      </w:r>
      <w:r w:rsidRPr="003E6410">
        <w:tab/>
      </w:r>
      <w:r w:rsidRPr="003E6410">
        <w:rPr>
          <w:b/>
          <w:bCs/>
        </w:rPr>
        <w:t>Building Food Security:</w:t>
      </w:r>
      <w:r w:rsidRPr="003E6410">
        <w:t xml:space="preserve"> Creating a robust, localized food system that promotes self-sufficiency and reduces dependency on external food sources.</w:t>
      </w:r>
    </w:p>
    <w:p w14:paraId="1F61242E" w14:textId="77777777" w:rsidR="003E6410" w:rsidRPr="003E6410" w:rsidRDefault="003E6410" w:rsidP="003E6410">
      <w:r w:rsidRPr="003E6410">
        <w:tab/>
        <w:t>3.</w:t>
      </w:r>
      <w:r w:rsidRPr="003E6410">
        <w:tab/>
      </w:r>
      <w:r w:rsidRPr="003E6410">
        <w:rPr>
          <w:b/>
          <w:bCs/>
        </w:rPr>
        <w:t>Promoting Economic Growth:</w:t>
      </w:r>
      <w:r w:rsidRPr="003E6410">
        <w:t xml:space="preserve"> Supporting agricultural entrepreneurship to drive local economic development.</w:t>
      </w:r>
    </w:p>
    <w:p w14:paraId="6CB5BDF1" w14:textId="77777777" w:rsidR="003E6410" w:rsidRPr="003E6410" w:rsidRDefault="003E6410" w:rsidP="003E6410">
      <w:r w:rsidRPr="003E6410">
        <w:tab/>
        <w:t>4.</w:t>
      </w:r>
      <w:r w:rsidRPr="003E6410">
        <w:tab/>
      </w:r>
      <w:r w:rsidRPr="003E6410">
        <w:rPr>
          <w:b/>
          <w:bCs/>
        </w:rPr>
        <w:t>Preserving Natural Resources:</w:t>
      </w:r>
      <w:r w:rsidRPr="003E6410">
        <w:t xml:space="preserve"> Implementing land and water conservation practices that protect and restore the environment.</w:t>
      </w:r>
    </w:p>
    <w:p w14:paraId="1344C076" w14:textId="77777777" w:rsidR="003E6410" w:rsidRPr="003E6410" w:rsidRDefault="003E6410" w:rsidP="003E6410"/>
    <w:p w14:paraId="1D783877" w14:textId="6E8C95C6" w:rsidR="003E6410" w:rsidRPr="003E6410" w:rsidRDefault="003E6410" w:rsidP="003E6410">
      <w:r w:rsidRPr="003E6410">
        <w:rPr>
          <w:b/>
          <w:bCs/>
        </w:rPr>
        <w:t>Collaborations and Partnerships</w:t>
      </w:r>
    </w:p>
    <w:p w14:paraId="281AFE3B" w14:textId="77777777" w:rsidR="003E6410" w:rsidRPr="003E6410" w:rsidRDefault="003E6410" w:rsidP="003E6410">
      <w:r w:rsidRPr="003E6410">
        <w:t>The Delta Grows Initiative is a collaborative effort involving partnerships with local farming communities, universities, non-profit organizations, and government agencies. We work closely with stakeholders to ensure the long-term success and sustainability of our efforts, tailoring solutions to the unique needs of the Delta region.</w:t>
      </w:r>
    </w:p>
    <w:p w14:paraId="2E97DE79" w14:textId="77777777" w:rsidR="003E6410" w:rsidRPr="003E6410" w:rsidRDefault="003E6410" w:rsidP="003E6410"/>
    <w:p w14:paraId="133E94E9" w14:textId="77777777" w:rsidR="003E6410" w:rsidRPr="003E6410" w:rsidRDefault="003E6410" w:rsidP="003E6410">
      <w:r w:rsidRPr="003E6410">
        <w:rPr>
          <w:b/>
          <w:bCs/>
        </w:rPr>
        <w:t>Contact Information:</w:t>
      </w:r>
    </w:p>
    <w:p w14:paraId="62E37706" w14:textId="77777777" w:rsidR="003E6410" w:rsidRPr="003E6410" w:rsidRDefault="003E6410" w:rsidP="003E6410"/>
    <w:p w14:paraId="4B5A0CDA" w14:textId="77777777" w:rsidR="003E6410" w:rsidRPr="003E6410" w:rsidRDefault="003E6410" w:rsidP="003E6410">
      <w:r w:rsidRPr="003E6410">
        <w:rPr>
          <w:b/>
          <w:bCs/>
        </w:rPr>
        <w:t>Center for Sustainable Agricultural Excellence and Conservation</w:t>
      </w:r>
    </w:p>
    <w:p w14:paraId="58ABE1B5" w14:textId="003B9B97" w:rsidR="003E6410" w:rsidRPr="003E6410" w:rsidRDefault="003E6410" w:rsidP="003E6410">
      <w:r w:rsidRPr="003E6410">
        <w:t xml:space="preserve">Address: </w:t>
      </w:r>
      <w:r>
        <w:t>4920 Astoria Ct. Jax, FL 32217</w:t>
      </w:r>
    </w:p>
    <w:p w14:paraId="54FEC6C7" w14:textId="649EED81" w:rsidR="003E6410" w:rsidRPr="003E6410" w:rsidRDefault="003E6410" w:rsidP="003E6410">
      <w:r w:rsidRPr="003E6410">
        <w:t xml:space="preserve">Phone: </w:t>
      </w:r>
      <w:r>
        <w:t>904-386-3856</w:t>
      </w:r>
    </w:p>
    <w:p w14:paraId="4D1C9AF5" w14:textId="303548CB" w:rsidR="003E6410" w:rsidRPr="003E6410" w:rsidRDefault="003E6410" w:rsidP="003E6410">
      <w:r w:rsidRPr="003E6410">
        <w:t xml:space="preserve">Email: </w:t>
      </w:r>
      <w:r>
        <w:t>CenterSAEC@gmail.com</w:t>
      </w:r>
    </w:p>
    <w:p w14:paraId="26273433" w14:textId="79B9086D" w:rsidR="003E6410" w:rsidRDefault="003E6410" w:rsidP="003E6410">
      <w:r w:rsidRPr="003E6410">
        <w:t xml:space="preserve">Website: </w:t>
      </w:r>
      <w:hyperlink r:id="rId5" w:history="1">
        <w:r w:rsidRPr="00432175">
          <w:rPr>
            <w:rStyle w:val="Hyperlink"/>
          </w:rPr>
          <w:t>www.deltagrows.org</w:t>
        </w:r>
      </w:hyperlink>
      <w:r>
        <w:t xml:space="preserve"> </w:t>
      </w:r>
      <w:hyperlink r:id="rId6" w:history="1">
        <w:r w:rsidRPr="00432175">
          <w:rPr>
            <w:rStyle w:val="Hyperlink"/>
          </w:rPr>
          <w:t>www.csaec.org</w:t>
        </w:r>
      </w:hyperlink>
    </w:p>
    <w:p w14:paraId="09DF53F2" w14:textId="77777777" w:rsidR="003E6410" w:rsidRDefault="003E6410" w:rsidP="003E6410"/>
    <w:p w14:paraId="2057BCD8" w14:textId="5FB7B853" w:rsidR="003E6410" w:rsidRPr="003E6410" w:rsidRDefault="003E6410" w:rsidP="003E6410">
      <w:r>
        <w:rPr>
          <w:b/>
          <w:bCs/>
        </w:rPr>
        <w:lastRenderedPageBreak/>
        <w:t>I</w:t>
      </w:r>
      <w:r w:rsidRPr="003E6410">
        <w:rPr>
          <w:b/>
          <w:bCs/>
        </w:rPr>
        <w:t>ntegrating Sustainable Agriculture with Justice System Intervention to Reduce Recidivism and Initial Incarceration</w:t>
      </w:r>
    </w:p>
    <w:p w14:paraId="37796A40" w14:textId="77777777" w:rsidR="003E6410" w:rsidRDefault="003E6410" w:rsidP="003E6410">
      <w:pPr>
        <w:rPr>
          <w:b/>
          <w:bCs/>
        </w:rPr>
      </w:pPr>
    </w:p>
    <w:p w14:paraId="60F4795E" w14:textId="2D1270AD" w:rsidR="003E6410" w:rsidRPr="003E6410" w:rsidRDefault="003E6410" w:rsidP="003E6410">
      <w:r w:rsidRPr="003E6410">
        <w:rPr>
          <w:b/>
          <w:bCs/>
        </w:rPr>
        <w:t>Background -</w:t>
      </w:r>
      <w:r w:rsidRPr="003E6410">
        <w:t xml:space="preserve">The Center for Sustainable Agricultural Excellence and Conservation (CSAEC) aims to continue </w:t>
      </w:r>
      <w:proofErr w:type="spellStart"/>
      <w:r w:rsidRPr="003E6410">
        <w:t>it's</w:t>
      </w:r>
      <w:proofErr w:type="spellEnd"/>
      <w:r w:rsidRPr="003E6410">
        <w:t xml:space="preserve"> Delta Grows initiative by incorporating a focused intervention program for individuals affected by the justice system. This addendum outlines the objectives, methodologies, and anticipated outcomes of integrating sustainable agricultural practices with efforts to reduce recidivism and prevent initial incarceration.</w:t>
      </w:r>
    </w:p>
    <w:p w14:paraId="1DE0EF41" w14:textId="77777777" w:rsidR="003E6410" w:rsidRPr="003E6410" w:rsidRDefault="003E6410" w:rsidP="003E6410">
      <w:r w:rsidRPr="003E6410">
        <w:rPr>
          <w:b/>
          <w:bCs/>
        </w:rPr>
        <w:t>Objectives</w:t>
      </w:r>
    </w:p>
    <w:p w14:paraId="59475DDD" w14:textId="77777777" w:rsidR="003E6410" w:rsidRPr="003E6410" w:rsidRDefault="003E6410" w:rsidP="003E6410">
      <w:pPr>
        <w:numPr>
          <w:ilvl w:val="0"/>
          <w:numId w:val="1"/>
        </w:numPr>
      </w:pPr>
      <w:r w:rsidRPr="003E6410">
        <w:rPr>
          <w:b/>
          <w:bCs/>
        </w:rPr>
        <w:t>Reduce Recidivism:</w:t>
      </w:r>
      <w:r w:rsidRPr="003E6410">
        <w:t> Provide former inmates with agricultural training and employment opportunities to decrease the likelihood of re-offending.</w:t>
      </w:r>
    </w:p>
    <w:p w14:paraId="21E8CB8B" w14:textId="77777777" w:rsidR="003E6410" w:rsidRPr="003E6410" w:rsidRDefault="003E6410" w:rsidP="003E6410">
      <w:pPr>
        <w:numPr>
          <w:ilvl w:val="0"/>
          <w:numId w:val="1"/>
        </w:numPr>
      </w:pPr>
      <w:r w:rsidRPr="003E6410">
        <w:rPr>
          <w:b/>
          <w:bCs/>
        </w:rPr>
        <w:t>Prevent Initial Incarceration:</w:t>
      </w:r>
      <w:r w:rsidRPr="003E6410">
        <w:t> Engage at-risk individuals in sustainable agricultural projects to offer alternative pathways and deter criminal activity.</w:t>
      </w:r>
    </w:p>
    <w:p w14:paraId="7AD54851" w14:textId="77777777" w:rsidR="003E6410" w:rsidRPr="003E6410" w:rsidRDefault="003E6410" w:rsidP="003E6410">
      <w:pPr>
        <w:numPr>
          <w:ilvl w:val="0"/>
          <w:numId w:val="1"/>
        </w:numPr>
      </w:pPr>
      <w:r w:rsidRPr="003E6410">
        <w:rPr>
          <w:b/>
          <w:bCs/>
        </w:rPr>
        <w:t>Enhance Community Integration:</w:t>
      </w:r>
      <w:r w:rsidRPr="003E6410">
        <w:t> Foster a supportive community environment that encourages reintegration and reduces the stigma associated with prior incarceration.</w:t>
      </w:r>
    </w:p>
    <w:p w14:paraId="63444DCD" w14:textId="77777777" w:rsidR="003E6410" w:rsidRDefault="003E6410" w:rsidP="003E6410">
      <w:pPr>
        <w:rPr>
          <w:b/>
          <w:bCs/>
        </w:rPr>
      </w:pPr>
      <w:r w:rsidRPr="003E6410">
        <w:rPr>
          <w:b/>
          <w:bCs/>
        </w:rPr>
        <w:t>Methodologies</w:t>
      </w:r>
    </w:p>
    <w:p w14:paraId="2AF35D22" w14:textId="77777777" w:rsidR="003E6410" w:rsidRPr="003E6410" w:rsidRDefault="003E6410" w:rsidP="003E6410"/>
    <w:p w14:paraId="4E698D69" w14:textId="77777777" w:rsidR="003E6410" w:rsidRPr="003E6410" w:rsidRDefault="003E6410" w:rsidP="003E6410">
      <w:pPr>
        <w:numPr>
          <w:ilvl w:val="0"/>
          <w:numId w:val="2"/>
        </w:numPr>
      </w:pPr>
      <w:r w:rsidRPr="003E6410">
        <w:rPr>
          <w:b/>
          <w:bCs/>
        </w:rPr>
        <w:t>Agricultural Training Programs:</w:t>
      </w:r>
    </w:p>
    <w:p w14:paraId="4262CA1D" w14:textId="77777777" w:rsidR="003E6410" w:rsidRPr="003E6410" w:rsidRDefault="003E6410" w:rsidP="003E6410">
      <w:pPr>
        <w:numPr>
          <w:ilvl w:val="1"/>
          <w:numId w:val="2"/>
        </w:numPr>
      </w:pPr>
      <w:r w:rsidRPr="003E6410">
        <w:rPr>
          <w:b/>
          <w:bCs/>
        </w:rPr>
        <w:t>Workshops and Certifications:</w:t>
      </w:r>
      <w:r w:rsidRPr="003E6410">
        <w:t> Develop comprehensive training programs covering aquaponics, integrated agriculture, and climate-smart commodities.</w:t>
      </w:r>
    </w:p>
    <w:p w14:paraId="62F093A0" w14:textId="77777777" w:rsidR="003E6410" w:rsidRDefault="003E6410" w:rsidP="003E6410">
      <w:pPr>
        <w:numPr>
          <w:ilvl w:val="1"/>
          <w:numId w:val="2"/>
        </w:numPr>
      </w:pPr>
      <w:r w:rsidRPr="003E6410">
        <w:rPr>
          <w:b/>
          <w:bCs/>
        </w:rPr>
        <w:t>Hands-on Experience:</w:t>
      </w:r>
      <w:r w:rsidRPr="003E6410">
        <w:t> Facilitate practical training sessions in the Delta Grows farms, offering real-world experience in sustainable agricultural practices.</w:t>
      </w:r>
    </w:p>
    <w:p w14:paraId="611A05CB" w14:textId="77777777" w:rsidR="003E6410" w:rsidRPr="003E6410" w:rsidRDefault="003E6410" w:rsidP="003E6410">
      <w:pPr>
        <w:ind w:left="1440"/>
      </w:pPr>
    </w:p>
    <w:p w14:paraId="425C39D7" w14:textId="77777777" w:rsidR="003E6410" w:rsidRPr="003E6410" w:rsidRDefault="003E6410" w:rsidP="003E6410">
      <w:pPr>
        <w:numPr>
          <w:ilvl w:val="0"/>
          <w:numId w:val="2"/>
        </w:numPr>
      </w:pPr>
      <w:r w:rsidRPr="003E6410">
        <w:rPr>
          <w:b/>
          <w:bCs/>
        </w:rPr>
        <w:t>Employment Opportunities:</w:t>
      </w:r>
    </w:p>
    <w:p w14:paraId="6723C957" w14:textId="77777777" w:rsidR="003E6410" w:rsidRPr="003E6410" w:rsidRDefault="003E6410" w:rsidP="003E6410">
      <w:pPr>
        <w:numPr>
          <w:ilvl w:val="1"/>
          <w:numId w:val="2"/>
        </w:numPr>
      </w:pPr>
      <w:r w:rsidRPr="003E6410">
        <w:rPr>
          <w:b/>
          <w:bCs/>
        </w:rPr>
        <w:t>Job Placement:</w:t>
      </w:r>
      <w:r w:rsidRPr="003E6410">
        <w:t> Partner with local farms and agricultural businesses to provide job placements for program participants.</w:t>
      </w:r>
    </w:p>
    <w:p w14:paraId="62EFFF72" w14:textId="77777777" w:rsidR="003E6410" w:rsidRDefault="003E6410" w:rsidP="003E6410">
      <w:pPr>
        <w:numPr>
          <w:ilvl w:val="1"/>
          <w:numId w:val="2"/>
        </w:numPr>
      </w:pPr>
      <w:r w:rsidRPr="003E6410">
        <w:rPr>
          <w:b/>
          <w:bCs/>
        </w:rPr>
        <w:t>Entrepreneurial Support:</w:t>
      </w:r>
      <w:r w:rsidRPr="003E6410">
        <w:t> Offer resources and mentorship for individuals interested in starting their own agricultural enterprises.</w:t>
      </w:r>
    </w:p>
    <w:p w14:paraId="46823FBC" w14:textId="77777777" w:rsidR="003E6410" w:rsidRPr="003E6410" w:rsidRDefault="003E6410" w:rsidP="003E6410">
      <w:pPr>
        <w:ind w:left="1440"/>
      </w:pPr>
    </w:p>
    <w:p w14:paraId="2C27A762" w14:textId="77777777" w:rsidR="003E6410" w:rsidRPr="003E6410" w:rsidRDefault="003E6410" w:rsidP="003E6410">
      <w:pPr>
        <w:numPr>
          <w:ilvl w:val="0"/>
          <w:numId w:val="2"/>
        </w:numPr>
      </w:pPr>
      <w:r w:rsidRPr="003E6410">
        <w:rPr>
          <w:b/>
          <w:bCs/>
        </w:rPr>
        <w:t>Community Engagement:</w:t>
      </w:r>
    </w:p>
    <w:p w14:paraId="084D34D2" w14:textId="77777777" w:rsidR="003E6410" w:rsidRPr="003E6410" w:rsidRDefault="003E6410" w:rsidP="003E6410">
      <w:pPr>
        <w:numPr>
          <w:ilvl w:val="1"/>
          <w:numId w:val="2"/>
        </w:numPr>
      </w:pPr>
      <w:r w:rsidRPr="003E6410">
        <w:rPr>
          <w:b/>
          <w:bCs/>
        </w:rPr>
        <w:t>Support Groups:</w:t>
      </w:r>
      <w:r w:rsidRPr="003E6410">
        <w:t> Establish support groups and counseling services to address the unique challenges faced by formerly incarcerated individuals.</w:t>
      </w:r>
    </w:p>
    <w:p w14:paraId="14F00414" w14:textId="77777777" w:rsidR="003E6410" w:rsidRPr="003E6410" w:rsidRDefault="003E6410" w:rsidP="003E6410">
      <w:pPr>
        <w:numPr>
          <w:ilvl w:val="1"/>
          <w:numId w:val="2"/>
        </w:numPr>
      </w:pPr>
      <w:r w:rsidRPr="003E6410">
        <w:rPr>
          <w:b/>
          <w:bCs/>
        </w:rPr>
        <w:t>Community Outreach:</w:t>
      </w:r>
      <w:r w:rsidRPr="003E6410">
        <w:t> Conduct community outreach programs to educate the public about the benefits of integrating former inmates into agricultural projects.</w:t>
      </w:r>
    </w:p>
    <w:p w14:paraId="0C7A0337" w14:textId="77777777" w:rsidR="003E6410" w:rsidRDefault="003E6410" w:rsidP="003E6410">
      <w:pPr>
        <w:rPr>
          <w:b/>
          <w:bCs/>
        </w:rPr>
      </w:pPr>
    </w:p>
    <w:p w14:paraId="1733436A" w14:textId="77777777" w:rsidR="003E6410" w:rsidRDefault="003E6410" w:rsidP="003E6410">
      <w:pPr>
        <w:rPr>
          <w:b/>
          <w:bCs/>
        </w:rPr>
      </w:pPr>
    </w:p>
    <w:p w14:paraId="3FBCAD78" w14:textId="77777777" w:rsidR="003E6410" w:rsidRDefault="003E6410" w:rsidP="003E6410">
      <w:pPr>
        <w:rPr>
          <w:b/>
          <w:bCs/>
        </w:rPr>
      </w:pPr>
    </w:p>
    <w:p w14:paraId="7210D266" w14:textId="77777777" w:rsidR="003E6410" w:rsidRDefault="003E6410" w:rsidP="003E6410">
      <w:pPr>
        <w:rPr>
          <w:b/>
          <w:bCs/>
        </w:rPr>
      </w:pPr>
    </w:p>
    <w:p w14:paraId="4F46FE96" w14:textId="77777777" w:rsidR="003E6410" w:rsidRDefault="003E6410" w:rsidP="003E6410">
      <w:pPr>
        <w:rPr>
          <w:b/>
          <w:bCs/>
        </w:rPr>
      </w:pPr>
    </w:p>
    <w:p w14:paraId="631CF8D9" w14:textId="77777777" w:rsidR="003E6410" w:rsidRDefault="003E6410" w:rsidP="003E6410">
      <w:pPr>
        <w:rPr>
          <w:b/>
          <w:bCs/>
        </w:rPr>
      </w:pPr>
    </w:p>
    <w:p w14:paraId="56D9380C" w14:textId="47EDE514" w:rsidR="003E6410" w:rsidRPr="003E6410" w:rsidRDefault="003E6410" w:rsidP="003E6410">
      <w:r w:rsidRPr="003E6410">
        <w:rPr>
          <w:b/>
          <w:bCs/>
        </w:rPr>
        <w:lastRenderedPageBreak/>
        <w:t>Anticipated Outcomes</w:t>
      </w:r>
    </w:p>
    <w:p w14:paraId="66481AD2" w14:textId="77777777" w:rsidR="003E6410" w:rsidRPr="003E6410" w:rsidRDefault="003E6410" w:rsidP="003E6410">
      <w:pPr>
        <w:numPr>
          <w:ilvl w:val="0"/>
          <w:numId w:val="3"/>
        </w:numPr>
      </w:pPr>
      <w:r w:rsidRPr="003E6410">
        <w:rPr>
          <w:b/>
          <w:bCs/>
        </w:rPr>
        <w:t>Reduction in Recidivism Rates:</w:t>
      </w:r>
      <w:r w:rsidRPr="003E6410">
        <w:t> A measurable decrease in the rate of re-offending among program participants.</w:t>
      </w:r>
    </w:p>
    <w:p w14:paraId="7739CACB" w14:textId="77777777" w:rsidR="003E6410" w:rsidRPr="003E6410" w:rsidRDefault="003E6410" w:rsidP="003E6410">
      <w:pPr>
        <w:numPr>
          <w:ilvl w:val="0"/>
          <w:numId w:val="3"/>
        </w:numPr>
      </w:pPr>
      <w:r w:rsidRPr="003E6410">
        <w:rPr>
          <w:b/>
          <w:bCs/>
        </w:rPr>
        <w:t>Employment and Economic Stability:</w:t>
      </w:r>
      <w:r w:rsidRPr="003E6410">
        <w:t> Increased employment rates and economic stability for individuals who have completed the training and employment programs.</w:t>
      </w:r>
    </w:p>
    <w:p w14:paraId="7F25CC26" w14:textId="77777777" w:rsidR="003E6410" w:rsidRPr="003E6410" w:rsidRDefault="003E6410" w:rsidP="003E6410">
      <w:pPr>
        <w:numPr>
          <w:ilvl w:val="0"/>
          <w:numId w:val="3"/>
        </w:numPr>
      </w:pPr>
      <w:r w:rsidRPr="003E6410">
        <w:rPr>
          <w:b/>
          <w:bCs/>
        </w:rPr>
        <w:t>Community Support:</w:t>
      </w:r>
      <w:r w:rsidRPr="003E6410">
        <w:t> Strengthened community bonds and reduced stigma associated with former incarceration.</w:t>
      </w:r>
    </w:p>
    <w:p w14:paraId="6815B820" w14:textId="77777777" w:rsidR="003E6410" w:rsidRPr="003E6410" w:rsidRDefault="003E6410" w:rsidP="003E6410">
      <w:pPr>
        <w:numPr>
          <w:ilvl w:val="0"/>
          <w:numId w:val="3"/>
        </w:numPr>
      </w:pPr>
      <w:r w:rsidRPr="003E6410">
        <w:rPr>
          <w:b/>
          <w:bCs/>
        </w:rPr>
        <w:t>Sustainable Agricultural Practices:</w:t>
      </w:r>
      <w:r w:rsidRPr="003E6410">
        <w:t> Enhanced adoption of sustainable agricultural practices in the Delta region.</w:t>
      </w:r>
    </w:p>
    <w:p w14:paraId="24459A3D" w14:textId="77777777" w:rsidR="003E6410" w:rsidRPr="003E6410" w:rsidRDefault="003E6410" w:rsidP="003E6410">
      <w:r w:rsidRPr="003E6410">
        <w:rPr>
          <w:b/>
          <w:bCs/>
        </w:rPr>
        <w:t> </w:t>
      </w:r>
    </w:p>
    <w:p w14:paraId="1D3ADE3E" w14:textId="77777777" w:rsidR="003E6410" w:rsidRPr="003E6410" w:rsidRDefault="003E6410" w:rsidP="003E6410">
      <w:r w:rsidRPr="003E6410">
        <w:rPr>
          <w:b/>
          <w:bCs/>
        </w:rPr>
        <w:t>Conclusion</w:t>
      </w:r>
    </w:p>
    <w:p w14:paraId="766CC052" w14:textId="77777777" w:rsidR="003E6410" w:rsidRPr="003E6410" w:rsidRDefault="003E6410" w:rsidP="003E6410">
      <w:r w:rsidRPr="003E6410">
        <w:t>By integrating sustainable agricultural practices with targeted interventions for individuals affected by the justice system, the CSAEC aims to create a holistic program that not only reduces recidivism and prevents initial incarceration but also promotes community resilience and sustainable development in the Mississippi Delta. This addendum to the Delta Grows grant outlines a path forward that aligns with the broader goals of justice reform and agricultural sustainability.</w:t>
      </w:r>
    </w:p>
    <w:p w14:paraId="451AF4C9" w14:textId="77777777" w:rsidR="003E6410" w:rsidRPr="003E6410" w:rsidRDefault="003E6410" w:rsidP="003E6410">
      <w:r w:rsidRPr="003E6410">
        <w:t> </w:t>
      </w:r>
    </w:p>
    <w:p w14:paraId="362DAB8C" w14:textId="77777777" w:rsidR="003E6410" w:rsidRPr="003E6410" w:rsidRDefault="003E6410" w:rsidP="003E6410"/>
    <w:p w14:paraId="1628FB71" w14:textId="77777777" w:rsidR="003E6410" w:rsidRDefault="003E6410"/>
    <w:sectPr w:rsidR="003E64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4206C"/>
    <w:multiLevelType w:val="multilevel"/>
    <w:tmpl w:val="14DA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5B11EA"/>
    <w:multiLevelType w:val="multilevel"/>
    <w:tmpl w:val="03DA0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8376AD"/>
    <w:multiLevelType w:val="multilevel"/>
    <w:tmpl w:val="420675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3612865">
    <w:abstractNumId w:val="0"/>
  </w:num>
  <w:num w:numId="2" w16cid:durableId="1011564488">
    <w:abstractNumId w:val="2"/>
  </w:num>
  <w:num w:numId="3" w16cid:durableId="1733036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410"/>
    <w:rsid w:val="000C582E"/>
    <w:rsid w:val="003E6410"/>
    <w:rsid w:val="003F0C7B"/>
    <w:rsid w:val="00517F65"/>
    <w:rsid w:val="00630D97"/>
    <w:rsid w:val="00B547E8"/>
    <w:rsid w:val="00F1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323D12"/>
  <w15:chartTrackingRefBased/>
  <w15:docId w15:val="{92023400-2F78-324A-BED3-EFE49B40E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4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64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4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4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4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4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4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4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4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4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64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4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4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4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4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4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4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410"/>
    <w:rPr>
      <w:rFonts w:eastAsiaTheme="majorEastAsia" w:cstheme="majorBidi"/>
      <w:color w:val="272727" w:themeColor="text1" w:themeTint="D8"/>
    </w:rPr>
  </w:style>
  <w:style w:type="paragraph" w:styleId="Title">
    <w:name w:val="Title"/>
    <w:basedOn w:val="Normal"/>
    <w:next w:val="Normal"/>
    <w:link w:val="TitleChar"/>
    <w:uiPriority w:val="10"/>
    <w:qFormat/>
    <w:rsid w:val="003E64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4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41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4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4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E6410"/>
    <w:rPr>
      <w:i/>
      <w:iCs/>
      <w:color w:val="404040" w:themeColor="text1" w:themeTint="BF"/>
    </w:rPr>
  </w:style>
  <w:style w:type="paragraph" w:styleId="ListParagraph">
    <w:name w:val="List Paragraph"/>
    <w:basedOn w:val="Normal"/>
    <w:uiPriority w:val="34"/>
    <w:qFormat/>
    <w:rsid w:val="003E6410"/>
    <w:pPr>
      <w:ind w:left="720"/>
      <w:contextualSpacing/>
    </w:pPr>
  </w:style>
  <w:style w:type="character" w:styleId="IntenseEmphasis">
    <w:name w:val="Intense Emphasis"/>
    <w:basedOn w:val="DefaultParagraphFont"/>
    <w:uiPriority w:val="21"/>
    <w:qFormat/>
    <w:rsid w:val="003E6410"/>
    <w:rPr>
      <w:i/>
      <w:iCs/>
      <w:color w:val="0F4761" w:themeColor="accent1" w:themeShade="BF"/>
    </w:rPr>
  </w:style>
  <w:style w:type="paragraph" w:styleId="IntenseQuote">
    <w:name w:val="Intense Quote"/>
    <w:basedOn w:val="Normal"/>
    <w:next w:val="Normal"/>
    <w:link w:val="IntenseQuoteChar"/>
    <w:uiPriority w:val="30"/>
    <w:qFormat/>
    <w:rsid w:val="003E64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410"/>
    <w:rPr>
      <w:i/>
      <w:iCs/>
      <w:color w:val="0F4761" w:themeColor="accent1" w:themeShade="BF"/>
    </w:rPr>
  </w:style>
  <w:style w:type="character" w:styleId="IntenseReference">
    <w:name w:val="Intense Reference"/>
    <w:basedOn w:val="DefaultParagraphFont"/>
    <w:uiPriority w:val="32"/>
    <w:qFormat/>
    <w:rsid w:val="003E6410"/>
    <w:rPr>
      <w:b/>
      <w:bCs/>
      <w:smallCaps/>
      <w:color w:val="0F4761" w:themeColor="accent1" w:themeShade="BF"/>
      <w:spacing w:val="5"/>
    </w:rPr>
  </w:style>
  <w:style w:type="character" w:styleId="Hyperlink">
    <w:name w:val="Hyperlink"/>
    <w:basedOn w:val="DefaultParagraphFont"/>
    <w:uiPriority w:val="99"/>
    <w:unhideWhenUsed/>
    <w:rsid w:val="003E6410"/>
    <w:rPr>
      <w:color w:val="467886" w:themeColor="hyperlink"/>
      <w:u w:val="single"/>
    </w:rPr>
  </w:style>
  <w:style w:type="character" w:styleId="UnresolvedMention">
    <w:name w:val="Unresolved Mention"/>
    <w:basedOn w:val="DefaultParagraphFont"/>
    <w:uiPriority w:val="99"/>
    <w:semiHidden/>
    <w:unhideWhenUsed/>
    <w:rsid w:val="003E6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895842">
      <w:bodyDiv w:val="1"/>
      <w:marLeft w:val="0"/>
      <w:marRight w:val="0"/>
      <w:marTop w:val="0"/>
      <w:marBottom w:val="0"/>
      <w:divBdr>
        <w:top w:val="none" w:sz="0" w:space="0" w:color="auto"/>
        <w:left w:val="none" w:sz="0" w:space="0" w:color="auto"/>
        <w:bottom w:val="none" w:sz="0" w:space="0" w:color="auto"/>
        <w:right w:val="none" w:sz="0" w:space="0" w:color="auto"/>
      </w:divBdr>
      <w:divsChild>
        <w:div w:id="2000183840">
          <w:marLeft w:val="0"/>
          <w:marRight w:val="0"/>
          <w:marTop w:val="0"/>
          <w:marBottom w:val="0"/>
          <w:divBdr>
            <w:top w:val="none" w:sz="0" w:space="0" w:color="auto"/>
            <w:left w:val="none" w:sz="0" w:space="0" w:color="auto"/>
            <w:bottom w:val="none" w:sz="0" w:space="0" w:color="auto"/>
            <w:right w:val="none" w:sz="0" w:space="0" w:color="auto"/>
          </w:divBdr>
        </w:div>
      </w:divsChild>
    </w:div>
    <w:div w:id="1898709613">
      <w:bodyDiv w:val="1"/>
      <w:marLeft w:val="0"/>
      <w:marRight w:val="0"/>
      <w:marTop w:val="0"/>
      <w:marBottom w:val="0"/>
      <w:divBdr>
        <w:top w:val="none" w:sz="0" w:space="0" w:color="auto"/>
        <w:left w:val="none" w:sz="0" w:space="0" w:color="auto"/>
        <w:bottom w:val="none" w:sz="0" w:space="0" w:color="auto"/>
        <w:right w:val="none" w:sz="0" w:space="0" w:color="auto"/>
      </w:divBdr>
      <w:divsChild>
        <w:div w:id="933779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aec.org" TargetMode="External"/><Relationship Id="rId5" Type="http://schemas.openxmlformats.org/officeDocument/2006/relationships/hyperlink" Target="http://www.deltagrow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772</Words>
  <Characters>4432</Characters>
  <Application>Microsoft Office Word</Application>
  <DocSecurity>0</DocSecurity>
  <Lines>105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TenBroeck</dc:creator>
  <cp:keywords/>
  <dc:description/>
  <cp:lastModifiedBy>Angela TenBroeck</cp:lastModifiedBy>
  <cp:revision>1</cp:revision>
  <dcterms:created xsi:type="dcterms:W3CDTF">2024-09-07T20:27:00Z</dcterms:created>
  <dcterms:modified xsi:type="dcterms:W3CDTF">2024-09-07T20:38:00Z</dcterms:modified>
</cp:coreProperties>
</file>